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D8" w:rsidRPr="00831DD8" w:rsidRDefault="00831DD8" w:rsidP="00831DD8">
      <w:pPr>
        <w:spacing w:before="150" w:line="345" w:lineRule="atLeast"/>
        <w:outlineLvl w:val="3"/>
        <w:rPr>
          <w:rFonts w:ascii="Montserrat" w:eastAsia="Times New Roman" w:hAnsi="Montserrat" w:cs="Times New Roman"/>
          <w:color w:val="222222"/>
          <w:sz w:val="23"/>
          <w:szCs w:val="23"/>
        </w:rPr>
      </w:pPr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  <w:u w:val="single"/>
        </w:rPr>
        <w:br/>
      </w:r>
      <w:proofErr w:type="spellStart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  <w:u w:val="single"/>
        </w:rPr>
        <w:t>Programul</w:t>
      </w:r>
      <w:proofErr w:type="spellEnd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  <w:u w:val="single"/>
        </w:rPr>
        <w:t xml:space="preserve"> Start-UP NATION Romania</w:t>
      </w:r>
    </w:p>
    <w:p w:rsidR="00831DD8" w:rsidRPr="00831DD8" w:rsidRDefault="00831DD8" w:rsidP="00831DD8">
      <w:pPr>
        <w:rPr>
          <w:rFonts w:ascii="Open Sans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  <w:u w:val="single"/>
        </w:rPr>
        <w:t>Conditii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  <w:u w:val="single"/>
        </w:rPr>
        <w:t xml:space="preserve">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  <w:u w:val="single"/>
        </w:rPr>
        <w:t>principale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  <w:u w:val="single"/>
        </w:rPr>
        <w:t>: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Firma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infiintata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dupa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30.01.2017;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Domenii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sanse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: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productie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industrii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creative;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Punct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lucru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mediul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Urban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Rural;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Dupa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aprobarea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proiectului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beneficiarul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angajeaza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minim 2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persoane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Asociatii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au </w:t>
      </w:r>
      <w:proofErr w:type="spellStart"/>
      <w:proofErr w:type="gram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actiuni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 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intr</w:t>
      </w:r>
      <w:proofErr w:type="spellEnd"/>
      <w:proofErr w:type="gram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-o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alta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intreprindere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mica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mijlocie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 care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isi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desfasoara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baza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aceluiasi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cod CAEN 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ultimii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2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Asociatii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au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avut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actiuni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ultimii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5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intreprinderi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au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intrat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faliment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insolventa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100%,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dar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mult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200.000 Lei;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Salarii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perioada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implementarii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Chirii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perioada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implementarii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Locurile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munca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nou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create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trebui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mentinute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2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Consultanta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– maxim 8.000 Lei;</w:t>
      </w:r>
    </w:p>
    <w:p w:rsidR="00831DD8" w:rsidRPr="00831DD8" w:rsidRDefault="00831DD8" w:rsidP="00831DD8">
      <w:pPr>
        <w:numPr>
          <w:ilvl w:val="0"/>
          <w:numId w:val="1"/>
        </w:numPr>
        <w:spacing w:before="100" w:before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momentul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depunerii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proiectului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beneficiarul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trebuie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faca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dovada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spatiului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spacing w:before="150" w:line="345" w:lineRule="atLeast"/>
        <w:outlineLvl w:val="3"/>
        <w:rPr>
          <w:rFonts w:ascii="Montserrat" w:eastAsia="Times New Roman" w:hAnsi="Montserrat" w:cs="Times New Roman"/>
          <w:color w:val="222222"/>
          <w:sz w:val="23"/>
          <w:szCs w:val="23"/>
        </w:rPr>
      </w:pPr>
      <w:proofErr w:type="spellStart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>Activitati</w:t>
      </w:r>
      <w:proofErr w:type="spellEnd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>eligibile</w:t>
      </w:r>
      <w:proofErr w:type="spellEnd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 xml:space="preserve"> Start-UP NATION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Echipamente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tehnologice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maşini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utilaje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instalaţii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lucru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–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software-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aferent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necesare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desfăşurării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solicitat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finanţare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conform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pct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2.1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2.2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Hotărârea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Guvernului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nr. 2139/2004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aprobarea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Catalogului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privind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clasificarea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duratele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normale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funcţionare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mijloacelor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fixe,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modificările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completările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ulterioare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excepţia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jocurilor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noroc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mecanice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electrice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electronice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meselor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biliard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automatelor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muzicale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Aparate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instalaţii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măsură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control,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reglare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cititoare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cod de bare,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cântare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electronice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cu/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fără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printer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etichetare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aparate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marcat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electronice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fiscale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Achiziţionarea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lucru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prestări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comerţ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(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clădiri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hale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amenajate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prestări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comerţ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elemente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prefabricate).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achiziţionat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cazul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programului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se </w:t>
      </w:r>
      <w:proofErr w:type="spellStart"/>
      <w:proofErr w:type="gram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</w:t>
      </w:r>
      <w:proofErr w:type="spellEnd"/>
      <w:proofErr w:type="gram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face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baza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unei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evaluări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al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unui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expert evaluator ANEVAR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excepţia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elemente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prefabricate.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cadrul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acestei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categorii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trebuie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aibă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destinaţie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locativă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trebuie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fie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puse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funcţiune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locul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implementării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proiectului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momentul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decontului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(1)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Mijloace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transport: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autoturisme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autobuze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microbuze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biciclete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mopede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motociclete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rulote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fără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motor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comerț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stradal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autoutilitare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categoria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N1, N2, N3,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excepţia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vehiculelor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teren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simbol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G, conform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Ordinului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MLPTL 211/2003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modificările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completările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ulterioare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exceptând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vehiculele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transport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rutier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mărfuri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contul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terţilor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contra cost,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solicitate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întreprinderile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efectuează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transport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rutier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mărfuri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numele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terţilor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contra cost.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(2)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activitățile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rent a car,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școli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șoferi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taxi nu </w:t>
      </w:r>
      <w:proofErr w:type="spellStart"/>
      <w:proofErr w:type="gram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este</w:t>
      </w:r>
      <w:proofErr w:type="spellEnd"/>
      <w:proofErr w:type="gram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limitată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maximă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numărul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autoturisme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achiziționate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.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(3)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alte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activități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afara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prevăzute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alin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(2),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autoturismele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sunt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toate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activitățile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cadrul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programului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justificarea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necesității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achiziționării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acestora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planul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afaceri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limită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maximă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36,000 lei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fără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TVA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maxim 1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autoturism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/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beneficiar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.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(4)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cazul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întreprinderea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beneficiară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ajutor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minimis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lângă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solicită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ajutor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cadrul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schemei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minimis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desfăşoară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transport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mărfuri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contul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terţilor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contra cost,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poate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utiliza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ajutorul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minimis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achiziţionarea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mijloace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transport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marfă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decât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dacă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se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asigură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prin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separarea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o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districţie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clară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între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costuri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exclusă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domeniul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aplicare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al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schemei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beneficiază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ajutoare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minimis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lastRenderedPageBreak/>
        <w:t>Echipamente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IT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tehnică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calcul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(tip PC, format din: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unitate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centrală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server, monitor,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imprimantă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/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copiator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/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multifuncţională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sisteme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portabile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licenţe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necesare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desfăşurării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sisteme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audio-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video</w:t>
      </w:r>
      <w:proofErr w:type="gram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,etc</w:t>
      </w:r>
      <w:proofErr w:type="spellEnd"/>
      <w:proofErr w:type="gram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.);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Achiziţionarea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bunuri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prevăzute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subgrupele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3.1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mobilier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3.2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Aparatură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birotică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3.3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sisteme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protecţie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valorilor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umane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materiale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conform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Hotărârii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Guvernului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nr. 2139/2004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aprobarea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Catalogului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privind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clasificarea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duratele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normale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funcționare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mijloacelor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fixe,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completările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modificările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ulterioare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Achiziţionarea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instalaţii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/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echipamente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specifice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scopul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obţinerii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unei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economii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energie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precum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sisteme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utilizează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surse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regenerabile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energie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eficientizarea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solicitat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finanţare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Achiziţionarea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instalaţii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încălzire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climatizare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aferente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desfășurare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activității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comerţ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Salariile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utilitățile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cheltuielile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aferente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chiriilor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lucru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prestări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comerţ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(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clădiri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hale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amenajate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prestări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producţie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comerţ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elemente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prefabricate).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Spatiile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se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acorda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chirie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trebuie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aibă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destinaţie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locativă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.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Salariile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se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decontează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nivelul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salariului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mediu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contribuțiile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aferente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angajatorului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.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Decontarea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se face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salariilor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utilităților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chiriei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aferente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după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momentul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semnării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acordului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perioada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implementare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Realizarea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unei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pagini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web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prezentarea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și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promovarea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solicitantului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produselor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cheltuieli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înregistrare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domeniu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fără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hosting,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operatorii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economici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deţin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alt site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trebuie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fie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funcţional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data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depunerii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cererii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eliberare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ajutorului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minimis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limita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maximă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8000 lei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fără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TVA;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Active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necorporale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referitoare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brevete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inventie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francize,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etichetare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ecologică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licenţe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etichetare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ecologică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software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comerţul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on-line, software-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necesare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desfăşurării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se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solicită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finanţare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se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prezenta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dovada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înregistrării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mărcii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francizate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organismul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abilitat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România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ţara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origine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traducere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autorizată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limba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romană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Taxa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adăugată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(TVA)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nedeductibilă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aplicanții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neplătitori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TVA conform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Codului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Fiscal;</w:t>
      </w:r>
    </w:p>
    <w:p w:rsidR="00831DD8" w:rsidRPr="00831DD8" w:rsidRDefault="00831DD8" w:rsidP="00831DD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Consultanţă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întocmirea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documentaţiei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vederea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obţinerii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finanţării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cadrul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prezentului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program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şi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implementarea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proiectului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dar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nu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mai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mult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8000 lei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fără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TVA;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Această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poate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fi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efectuată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înainte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semnarea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acordului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finanţare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.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Furnizorii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servicii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consultanţă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cadrul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Programului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pot fi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numai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organizaţii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furnizoare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consultanţă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care au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dreptul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legal de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desfășura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acest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tip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,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respectiv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de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consultanță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statut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sau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sunt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întreprinderi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care au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activitate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autorizată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fi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desfăşurată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una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dintre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activităţile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incluse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în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cod CAEN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clasa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70.</w:t>
      </w:r>
    </w:p>
    <w:p w:rsidR="00831DD8" w:rsidRPr="00831DD8" w:rsidRDefault="00831DD8" w:rsidP="00831DD8">
      <w:pPr>
        <w:spacing w:before="150" w:line="345" w:lineRule="atLeast"/>
        <w:outlineLvl w:val="3"/>
        <w:rPr>
          <w:rFonts w:ascii="Montserrat" w:eastAsia="Times New Roman" w:hAnsi="Montserrat" w:cs="Times New Roman"/>
          <w:color w:val="222222"/>
          <w:sz w:val="23"/>
          <w:szCs w:val="23"/>
        </w:rPr>
      </w:pPr>
      <w:proofErr w:type="spellStart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>Ajutor</w:t>
      </w:r>
      <w:proofErr w:type="spellEnd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>financiar</w:t>
      </w:r>
      <w:proofErr w:type="spellEnd"/>
      <w:r w:rsidRPr="00831DD8">
        <w:rPr>
          <w:rFonts w:ascii="Montserrat" w:eastAsia="Times New Roman" w:hAnsi="Montserrat" w:cs="Times New Roman"/>
          <w:b/>
          <w:bCs/>
          <w:color w:val="222222"/>
          <w:sz w:val="23"/>
          <w:szCs w:val="23"/>
        </w:rPr>
        <w:t> </w:t>
      </w:r>
    </w:p>
    <w:p w:rsidR="00831DD8" w:rsidRPr="00831DD8" w:rsidRDefault="00831DD8" w:rsidP="00831DD8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proofErr w:type="gram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Microintreprinderi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:</w:t>
      </w:r>
      <w:proofErr w:type="gram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100%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totala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cheltuieilor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Intreprinderi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mici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: 100%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totala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cheltuieilor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;</w:t>
      </w:r>
    </w:p>
    <w:p w:rsidR="00831DD8" w:rsidRPr="00831DD8" w:rsidRDefault="00831DD8" w:rsidP="00831DD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Intreprinderi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mijlocii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: 100% din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totala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a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cheltuieilor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eligibile</w:t>
      </w:r>
      <w:proofErr w:type="spellEnd"/>
      <w:r w:rsidRPr="00831DD8">
        <w:rPr>
          <w:rFonts w:ascii="Open Sans" w:eastAsia="Times New Roman" w:hAnsi="Open Sans" w:cs="Times New Roman"/>
          <w:color w:val="000000"/>
          <w:sz w:val="21"/>
          <w:szCs w:val="21"/>
        </w:rPr>
        <w:t>.</w:t>
      </w:r>
    </w:p>
    <w:p w:rsidR="00831DD8" w:rsidRPr="00831DD8" w:rsidRDefault="00831DD8" w:rsidP="00831DD8">
      <w:pPr>
        <w:spacing w:after="150"/>
        <w:rPr>
          <w:rFonts w:ascii="Open Sans" w:hAnsi="Open Sans" w:cs="Times New Roman"/>
          <w:color w:val="000000"/>
          <w:sz w:val="21"/>
          <w:szCs w:val="21"/>
        </w:rPr>
      </w:pP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Valoarea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maximă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</w:t>
      </w:r>
      <w:proofErr w:type="gramStart"/>
      <w:r w:rsidRPr="00831DD8">
        <w:rPr>
          <w:rFonts w:ascii="Open Sans" w:hAnsi="Open Sans" w:cs="Times New Roman"/>
          <w:color w:val="000000"/>
          <w:sz w:val="21"/>
          <w:szCs w:val="21"/>
        </w:rPr>
        <w:t>a</w:t>
      </w:r>
      <w:proofErr w:type="gram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AFN nu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poate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depăşi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suma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de 200.000 Lei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pentru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fiecare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 xml:space="preserve"> </w:t>
      </w:r>
      <w:proofErr w:type="spellStart"/>
      <w:r w:rsidRPr="00831DD8">
        <w:rPr>
          <w:rFonts w:ascii="Open Sans" w:hAnsi="Open Sans" w:cs="Times New Roman"/>
          <w:color w:val="000000"/>
          <w:sz w:val="21"/>
          <w:szCs w:val="21"/>
        </w:rPr>
        <w:t>beneficiar</w:t>
      </w:r>
      <w:proofErr w:type="spellEnd"/>
      <w:r w:rsidRPr="00831DD8">
        <w:rPr>
          <w:rFonts w:ascii="Open Sans" w:hAnsi="Open Sans" w:cs="Times New Roman"/>
          <w:color w:val="000000"/>
          <w:sz w:val="21"/>
          <w:szCs w:val="21"/>
        </w:rPr>
        <w:t>.</w:t>
      </w:r>
    </w:p>
    <w:p w:rsidR="00416CF5" w:rsidRDefault="00416CF5">
      <w:bookmarkStart w:id="0" w:name="_GoBack"/>
      <w:bookmarkEnd w:id="0"/>
    </w:p>
    <w:sectPr w:rsidR="00416CF5" w:rsidSect="00416C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42D"/>
    <w:multiLevelType w:val="multilevel"/>
    <w:tmpl w:val="82C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B72EE"/>
    <w:multiLevelType w:val="multilevel"/>
    <w:tmpl w:val="C4D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210A1"/>
    <w:multiLevelType w:val="multilevel"/>
    <w:tmpl w:val="688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D8"/>
    <w:rsid w:val="00416CF5"/>
    <w:rsid w:val="008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2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1DD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1DD8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831D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D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31D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1DD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1DD8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831D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D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3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5903</Characters>
  <Application>Microsoft Macintosh Word</Application>
  <DocSecurity>0</DocSecurity>
  <Lines>49</Lines>
  <Paragraphs>13</Paragraphs>
  <ScaleCrop>false</ScaleCrop>
  <Company>tanase.florin98@yahoo.com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2019-11-22T10:06:00Z</dcterms:created>
  <dcterms:modified xsi:type="dcterms:W3CDTF">2019-11-22T10:06:00Z</dcterms:modified>
</cp:coreProperties>
</file>